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29" w:rsidRPr="00AA33CF" w:rsidRDefault="004033D8" w:rsidP="002C2E29">
      <w:pPr>
        <w:pStyle w:val="HeadHatzaotHok"/>
        <w:jc w:val="right"/>
        <w:rPr>
          <w:b w:val="0"/>
          <w:bCs w:val="0"/>
          <w:szCs w:val="20"/>
        </w:rPr>
      </w:pPr>
      <w:r w:rsidRPr="00AA33CF">
        <w:rPr>
          <w:b w:val="0"/>
          <w:bCs w:val="0"/>
          <w:szCs w:val="20"/>
          <w:rtl/>
        </w:rPr>
        <w:t xml:space="preserve">מספר פנימי: </w:t>
      </w:r>
      <w:bookmarkStart w:id="0" w:name="ItemID"/>
      <w:r w:rsidR="00B70777" w:rsidRPr="00AA33CF">
        <w:rPr>
          <w:b w:val="0"/>
          <w:bCs w:val="0"/>
          <w:szCs w:val="20"/>
          <w:rtl/>
        </w:rPr>
        <w:t>487954</w:t>
      </w:r>
      <w:bookmarkEnd w:id="0"/>
    </w:p>
    <w:p w:rsidR="00E13C27" w:rsidRPr="00DB7060" w:rsidRDefault="00E13C27" w:rsidP="00E13C27">
      <w:pPr>
        <w:pStyle w:val="HeadHatzaotHok"/>
        <w:rPr>
          <w:sz w:val="28"/>
          <w:szCs w:val="28"/>
          <w:rtl/>
        </w:rPr>
      </w:pPr>
      <w:r w:rsidRPr="00DB7060">
        <w:rPr>
          <w:sz w:val="28"/>
          <w:szCs w:val="28"/>
          <w:rtl/>
        </w:rPr>
        <w:t xml:space="preserve">הכנסת </w:t>
      </w:r>
      <w:bookmarkStart w:id="1" w:name="KnessetNum"/>
      <w:r w:rsidR="00B70777" w:rsidRPr="00B70777">
        <w:rPr>
          <w:sz w:val="28"/>
          <w:szCs w:val="28"/>
          <w:rtl/>
        </w:rPr>
        <w:t>התשע-עשרה</w:t>
      </w:r>
      <w:bookmarkEnd w:id="1"/>
    </w:p>
    <w:p w:rsidR="00E13C27" w:rsidRDefault="00E13C27" w:rsidP="00E13C27">
      <w:pPr>
        <w:rPr>
          <w:rFonts w:cs="David"/>
          <w:sz w:val="26"/>
          <w:szCs w:val="26"/>
          <w:rtl/>
        </w:rPr>
      </w:pPr>
    </w:p>
    <w:p w:rsidR="00B70777" w:rsidRPr="00AA33CF" w:rsidRDefault="00EF6F54" w:rsidP="0091204F">
      <w:pPr>
        <w:pStyle w:val="David"/>
        <w:ind w:left="2880" w:firstLine="663"/>
        <w:rPr>
          <w:b/>
          <w:bCs/>
          <w:rtl/>
        </w:rPr>
      </w:pPr>
      <w:bookmarkStart w:id="2" w:name="MKsSingleOrMulti"/>
      <w:r w:rsidRPr="00EF6F54">
        <w:rPr>
          <w:rFonts w:hint="cs"/>
          <w:b/>
          <w:bCs/>
          <w:rtl/>
        </w:rPr>
        <w:t>יוזמים</w:t>
      </w:r>
      <w:r w:rsidRPr="00EF6F54">
        <w:rPr>
          <w:b/>
          <w:bCs/>
          <w:rtl/>
        </w:rPr>
        <w:t xml:space="preserve">:      </w:t>
      </w:r>
      <w:r w:rsidRPr="00EF6F54">
        <w:rPr>
          <w:rFonts w:hint="cs"/>
          <w:b/>
          <w:bCs/>
          <w:rtl/>
        </w:rPr>
        <w:t>חברי</w:t>
      </w:r>
      <w:r w:rsidRPr="00EF6F54">
        <w:rPr>
          <w:b/>
          <w:bCs/>
          <w:rtl/>
        </w:rPr>
        <w:t xml:space="preserve"> </w:t>
      </w:r>
      <w:r w:rsidRPr="00EF6F54">
        <w:rPr>
          <w:rFonts w:hint="cs"/>
          <w:b/>
          <w:bCs/>
          <w:rtl/>
        </w:rPr>
        <w:t>הכנסת</w:t>
      </w:r>
      <w:bookmarkEnd w:id="2"/>
      <w:r w:rsidR="00B35784" w:rsidRPr="00AA33CF">
        <w:rPr>
          <w:b/>
          <w:bCs/>
        </w:rPr>
        <w:tab/>
      </w:r>
      <w:bookmarkStart w:id="3" w:name="MKs"/>
      <w:r w:rsidR="00B70777" w:rsidRPr="00AA33CF">
        <w:rPr>
          <w:rFonts w:hint="cs"/>
          <w:b/>
          <w:bCs/>
          <w:rtl/>
        </w:rPr>
        <w:t>יריב</w:t>
      </w:r>
      <w:r w:rsidR="00B70777" w:rsidRPr="00AA33CF">
        <w:rPr>
          <w:b/>
          <w:bCs/>
          <w:rtl/>
        </w:rPr>
        <w:t xml:space="preserve"> </w:t>
      </w:r>
      <w:r w:rsidR="00B70777" w:rsidRPr="00AA33CF">
        <w:rPr>
          <w:rFonts w:hint="cs"/>
          <w:b/>
          <w:bCs/>
          <w:rtl/>
        </w:rPr>
        <w:t>לוין</w:t>
      </w:r>
    </w:p>
    <w:p w:rsidR="00E13C27" w:rsidRDefault="00B70777" w:rsidP="0091204F">
      <w:pPr>
        <w:pStyle w:val="David"/>
        <w:ind w:left="2880" w:firstLine="663"/>
        <w:rPr>
          <w:b/>
          <w:bCs/>
          <w:rtl/>
        </w:rPr>
      </w:pPr>
      <w:r w:rsidRPr="00B70777">
        <w:rPr>
          <w:b/>
          <w:bCs/>
          <w:rtl/>
        </w:rPr>
        <w:tab/>
      </w:r>
      <w:r w:rsidRPr="00B70777">
        <w:rPr>
          <w:b/>
          <w:bCs/>
          <w:rtl/>
        </w:rPr>
        <w:tab/>
      </w:r>
      <w:r w:rsidRPr="00B70777">
        <w:rPr>
          <w:b/>
          <w:bCs/>
          <w:rtl/>
        </w:rPr>
        <w:tab/>
      </w:r>
      <w:r w:rsidRPr="00B70777">
        <w:rPr>
          <w:b/>
          <w:bCs/>
          <w:rtl/>
        </w:rPr>
        <w:tab/>
      </w:r>
      <w:r w:rsidRPr="00B70777">
        <w:rPr>
          <w:b/>
          <w:bCs/>
          <w:rtl/>
        </w:rPr>
        <w:tab/>
      </w:r>
      <w:r w:rsidRPr="00B70777">
        <w:rPr>
          <w:rFonts w:hint="cs"/>
          <w:b/>
          <w:bCs/>
          <w:rtl/>
        </w:rPr>
        <w:t>איילת</w:t>
      </w:r>
      <w:r w:rsidRPr="00B70777">
        <w:rPr>
          <w:b/>
          <w:bCs/>
          <w:rtl/>
        </w:rPr>
        <w:t xml:space="preserve"> </w:t>
      </w:r>
      <w:r w:rsidRPr="00B70777">
        <w:rPr>
          <w:rFonts w:hint="cs"/>
          <w:b/>
          <w:bCs/>
          <w:rtl/>
        </w:rPr>
        <w:t>שקד</w:t>
      </w:r>
      <w:bookmarkEnd w:id="3"/>
    </w:p>
    <w:p w:rsidR="0088793C" w:rsidRPr="00B35784" w:rsidRDefault="0088793C" w:rsidP="0088793C">
      <w:pPr>
        <w:pStyle w:val="David"/>
        <w:ind w:left="5760" w:firstLine="720"/>
        <w:rPr>
          <w:b/>
          <w:bCs/>
          <w:rtl/>
        </w:rPr>
      </w:pPr>
      <w:r w:rsidRPr="0088793C">
        <w:rPr>
          <w:rFonts w:hint="cs"/>
          <w:b/>
          <w:bCs/>
          <w:rtl/>
        </w:rPr>
        <w:t>אורית</w:t>
      </w:r>
      <w:r w:rsidRPr="0088793C">
        <w:rPr>
          <w:b/>
          <w:bCs/>
          <w:rtl/>
        </w:rPr>
        <w:t xml:space="preserve"> </w:t>
      </w:r>
      <w:r w:rsidRPr="0088793C">
        <w:rPr>
          <w:rFonts w:hint="cs"/>
          <w:b/>
          <w:bCs/>
          <w:rtl/>
        </w:rPr>
        <w:t>סטרוק</w:t>
      </w:r>
      <w:r w:rsidRPr="0088793C">
        <w:rPr>
          <w:b/>
          <w:bCs/>
          <w:rtl/>
        </w:rPr>
        <w:t xml:space="preserve"> </w:t>
      </w:r>
    </w:p>
    <w:p w:rsidR="00E13C27" w:rsidRDefault="00925340" w:rsidP="00B35784">
      <w:pPr>
        <w:ind w:firstLine="3543"/>
        <w:rPr>
          <w:rFonts w:cs="David"/>
          <w:sz w:val="26"/>
          <w:szCs w:val="26"/>
          <w:rtl/>
        </w:rPr>
      </w:pPr>
      <w:r>
        <w:rPr>
          <w:noProof/>
          <w:lang w:eastAsia="en-US"/>
        </w:rPr>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w:r>
      <w:bookmarkStart w:id="4" w:name="MKsSingleOrMulti1"/>
      <w:bookmarkEnd w:id="4"/>
      <w:r w:rsidR="002200A1">
        <w:rPr>
          <w:rFonts w:cs="David"/>
          <w:sz w:val="26"/>
          <w:szCs w:val="26"/>
          <w:rtl/>
        </w:rPr>
        <w:tab/>
      </w:r>
      <w:bookmarkStart w:id="5" w:name="MKs1"/>
      <w:bookmarkEnd w:id="5"/>
    </w:p>
    <w:p w:rsidR="00E13C27" w:rsidRDefault="00925340" w:rsidP="00292712">
      <w:pPr>
        <w:ind w:left="2919" w:firstLine="720"/>
        <w:rPr>
          <w:rFonts w:cs="David"/>
          <w:sz w:val="26"/>
          <w:szCs w:val="26"/>
          <w:rtl/>
        </w:rPr>
      </w:pPr>
      <w:r>
        <w:rPr>
          <w:noProof/>
          <w:lang w:eastAsia="en-US"/>
        </w:rPr>
        <w:pict>
          <v:polyline id="Freeform 7"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w:r>
      <w:r w:rsidR="00E13C27">
        <w:rPr>
          <w:rFonts w:cs="David"/>
          <w:sz w:val="26"/>
          <w:szCs w:val="26"/>
          <w:rtl/>
        </w:rPr>
        <w:tab/>
      </w:r>
      <w:r w:rsidR="00E13C27">
        <w:rPr>
          <w:rFonts w:cs="David"/>
          <w:sz w:val="26"/>
          <w:szCs w:val="26"/>
          <w:rtl/>
        </w:rPr>
        <w:tab/>
      </w:r>
      <w:r w:rsidR="00E13C27">
        <w:rPr>
          <w:rFonts w:cs="David"/>
          <w:sz w:val="26"/>
          <w:szCs w:val="26"/>
          <w:rtl/>
        </w:rPr>
        <w:tab/>
      </w:r>
      <w:r w:rsidR="00E13C27">
        <w:rPr>
          <w:rFonts w:cs="David"/>
          <w:sz w:val="26"/>
          <w:szCs w:val="26"/>
          <w:rtl/>
        </w:rPr>
        <w:tab/>
      </w:r>
      <w:bookmarkStart w:id="6" w:name="LawNum"/>
      <w:r w:rsidR="00E742BB" w:rsidRPr="00E742BB">
        <w:rPr>
          <w:rFonts w:cs="David" w:hint="cs"/>
          <w:sz w:val="26"/>
          <w:szCs w:val="26"/>
          <w:rtl/>
        </w:rPr>
        <w:t>פ</w:t>
      </w:r>
      <w:r w:rsidR="00E742BB" w:rsidRPr="00E742BB">
        <w:rPr>
          <w:rFonts w:cs="David"/>
          <w:sz w:val="26"/>
          <w:szCs w:val="26"/>
          <w:rtl/>
        </w:rPr>
        <w:t>/1551/19</w:t>
      </w:r>
      <w:bookmarkEnd w:id="6"/>
      <w:r w:rsidR="00E13C27">
        <w:rPr>
          <w:rFonts w:cs="David"/>
          <w:sz w:val="26"/>
          <w:szCs w:val="26"/>
          <w:rtl/>
        </w:rPr>
        <w:tab/>
      </w:r>
      <w:r w:rsidR="00E13C27">
        <w:rPr>
          <w:rFonts w:cs="David"/>
          <w:sz w:val="26"/>
          <w:szCs w:val="26"/>
          <w:rtl/>
        </w:rPr>
        <w:tab/>
      </w:r>
      <w:r w:rsidR="00E13C27">
        <w:rPr>
          <w:rFonts w:cs="David"/>
          <w:sz w:val="26"/>
          <w:szCs w:val="26"/>
          <w:rtl/>
        </w:rPr>
        <w:tab/>
      </w:r>
    </w:p>
    <w:p w:rsidR="00E13C27" w:rsidRDefault="00E13C27" w:rsidP="00E13C27">
      <w:pPr>
        <w:spacing w:before="0" w:line="360" w:lineRule="auto"/>
        <w:ind w:left="2880" w:firstLine="720"/>
        <w:rPr>
          <w:rFonts w:cs="David"/>
          <w:sz w:val="26"/>
          <w:szCs w:val="26"/>
          <w:rtl/>
        </w:rPr>
      </w:pPr>
    </w:p>
    <w:p w:rsidR="00E13C27" w:rsidRDefault="00394CEE" w:rsidP="00AA33CF">
      <w:pPr>
        <w:pStyle w:val="HeadHatzaotHok"/>
        <w:tabs>
          <w:tab w:val="left" w:pos="4071"/>
          <w:tab w:val="center" w:pos="4819"/>
        </w:tabs>
        <w:spacing w:before="0" w:line="240" w:lineRule="auto"/>
        <w:rPr>
          <w:sz w:val="26"/>
          <w:rtl/>
        </w:rPr>
      </w:pPr>
      <w:bookmarkStart w:id="7" w:name="Title"/>
      <w:r w:rsidRPr="00394CEE">
        <w:rPr>
          <w:sz w:val="26"/>
          <w:rtl/>
        </w:rPr>
        <w:t>הצעת חוק-יסוד: משאל עם</w:t>
      </w:r>
      <w:bookmarkEnd w:id="7"/>
    </w:p>
    <w:p w:rsidR="00AC18CD" w:rsidRDefault="00AC18CD" w:rsidP="00AA33CF">
      <w:pPr>
        <w:pStyle w:val="HeadHatzaotHok"/>
        <w:tabs>
          <w:tab w:val="left" w:pos="4071"/>
          <w:tab w:val="center" w:pos="4819"/>
        </w:tabs>
        <w:spacing w:before="0" w:line="240" w:lineRule="auto"/>
        <w:rPr>
          <w:sz w:val="26"/>
        </w:rPr>
      </w:pPr>
    </w:p>
    <w:tbl>
      <w:tblPr>
        <w:bidiVisual/>
        <w:tblW w:w="9638" w:type="dxa"/>
        <w:tblLayout w:type="fixed"/>
        <w:tblCellMar>
          <w:top w:w="57" w:type="dxa"/>
          <w:left w:w="0" w:type="dxa"/>
          <w:bottom w:w="57" w:type="dxa"/>
          <w:right w:w="0" w:type="dxa"/>
        </w:tblCellMar>
        <w:tblLook w:val="01E0"/>
      </w:tblPr>
      <w:tblGrid>
        <w:gridCol w:w="1871"/>
        <w:gridCol w:w="624"/>
        <w:gridCol w:w="624"/>
        <w:gridCol w:w="624"/>
        <w:gridCol w:w="5895"/>
      </w:tblGrid>
      <w:tr w:rsidR="00AC18CD" w:rsidTr="00AA33CF">
        <w:trPr>
          <w:cantSplit/>
        </w:trPr>
        <w:tc>
          <w:tcPr>
            <w:tcW w:w="1871" w:type="dxa"/>
            <w:hideMark/>
          </w:tcPr>
          <w:p w:rsidR="00AC18CD" w:rsidRPr="00AA33CF" w:rsidRDefault="00AC18CD" w:rsidP="00AA33CF">
            <w:pPr>
              <w:pStyle w:val="TableSideHeading"/>
              <w:ind w:right="0"/>
            </w:pPr>
            <w:r w:rsidRPr="00AA33CF">
              <w:rPr>
                <w:rtl/>
              </w:rPr>
              <w:t>עריכת משאל עם</w:t>
            </w:r>
          </w:p>
        </w:tc>
        <w:tc>
          <w:tcPr>
            <w:tcW w:w="624" w:type="dxa"/>
            <w:hideMark/>
          </w:tcPr>
          <w:p w:rsidR="00AC18CD" w:rsidRPr="00AA33CF" w:rsidRDefault="00AC18CD" w:rsidP="00AA33CF">
            <w:pPr>
              <w:pStyle w:val="TableText"/>
              <w:ind w:right="0"/>
              <w:jc w:val="both"/>
            </w:pPr>
            <w:r w:rsidRPr="00AA33CF">
              <w:rPr>
                <w:rtl/>
              </w:rPr>
              <w:t>1.</w:t>
            </w:r>
          </w:p>
        </w:tc>
        <w:tc>
          <w:tcPr>
            <w:tcW w:w="7143" w:type="dxa"/>
            <w:gridSpan w:val="3"/>
            <w:hideMark/>
          </w:tcPr>
          <w:p w:rsidR="00AC18CD" w:rsidRPr="00AA33CF" w:rsidRDefault="00AC18CD" w:rsidP="00AA33CF">
            <w:pPr>
              <w:pStyle w:val="TableBlock"/>
            </w:pPr>
            <w:r w:rsidRPr="00AA33CF">
              <w:rPr>
                <w:rtl/>
              </w:rPr>
              <w:t>(א)</w:t>
            </w:r>
            <w:r w:rsidRPr="00AA33CF">
              <w:rPr>
                <w:rtl/>
              </w:rPr>
              <w:tab/>
              <w:t>הממשלה לא תאשרר הסכם הטעון אשרור ולא תחתום על הסכם שאינו טעון אשרור, שלפיו המשפט, השיפוט והמינהל של מדינת ישראל לא יחולו על שטח, לרבות הסכם הכולל התחייבות לעתיד והתחייבות המותנית בתנאים, אלא לאחר שההסכם אושר על ידי הכנסת ובמשאל עם, לפי הוראות שייקבעו בחוק.</w:t>
            </w:r>
          </w:p>
        </w:tc>
      </w:tr>
      <w:tr w:rsidR="00AC18CD" w:rsidTr="00AA33CF">
        <w:trPr>
          <w:cantSplit/>
        </w:trPr>
        <w:tc>
          <w:tcPr>
            <w:tcW w:w="1871" w:type="dxa"/>
          </w:tcPr>
          <w:p w:rsidR="00AC18CD" w:rsidRPr="00AA33CF" w:rsidRDefault="00AC18CD" w:rsidP="00AA33CF">
            <w:pPr>
              <w:pStyle w:val="TableSideHeading"/>
              <w:ind w:right="0"/>
            </w:pPr>
          </w:p>
        </w:tc>
        <w:tc>
          <w:tcPr>
            <w:tcW w:w="624" w:type="dxa"/>
          </w:tcPr>
          <w:p w:rsidR="00AC18CD" w:rsidRPr="00AA33CF" w:rsidRDefault="00AC18CD" w:rsidP="00AA33CF">
            <w:pPr>
              <w:pStyle w:val="TableText"/>
              <w:ind w:right="0"/>
              <w:jc w:val="both"/>
            </w:pPr>
          </w:p>
        </w:tc>
        <w:tc>
          <w:tcPr>
            <w:tcW w:w="624" w:type="dxa"/>
          </w:tcPr>
          <w:p w:rsidR="00AC18CD" w:rsidRPr="00AA33CF" w:rsidRDefault="00AC18CD" w:rsidP="00AA33CF">
            <w:pPr>
              <w:pStyle w:val="TableText"/>
              <w:ind w:right="0"/>
              <w:jc w:val="both"/>
            </w:pPr>
          </w:p>
        </w:tc>
        <w:tc>
          <w:tcPr>
            <w:tcW w:w="624" w:type="dxa"/>
          </w:tcPr>
          <w:p w:rsidR="00AC18CD" w:rsidRPr="00AA33CF" w:rsidRDefault="00AC18CD" w:rsidP="00AA33CF">
            <w:pPr>
              <w:pStyle w:val="TableText"/>
              <w:ind w:right="0"/>
              <w:jc w:val="both"/>
            </w:pPr>
          </w:p>
        </w:tc>
        <w:tc>
          <w:tcPr>
            <w:tcW w:w="5895" w:type="dxa"/>
            <w:hideMark/>
          </w:tcPr>
          <w:p w:rsidR="00AC18CD" w:rsidRPr="00AA33CF" w:rsidRDefault="00AC18CD" w:rsidP="00AA33CF">
            <w:pPr>
              <w:pStyle w:val="TableBlock"/>
            </w:pPr>
            <w:r w:rsidRPr="00AA33CF">
              <w:rPr>
                <w:rtl/>
              </w:rPr>
              <w:t>(ב)</w:t>
            </w:r>
            <w:r w:rsidRPr="00AA33CF">
              <w:rPr>
                <w:rtl/>
              </w:rPr>
              <w:tab/>
              <w:t xml:space="preserve">החלטת הממשלה שלפיה המשפט, השיפוט והמינהל של מדינת ישראל לא יחולו עוד על שטח שלא בדרך של הסכם כאמור בסעיף קטן (א), טעונה אישור על ידי הכנסת ובמשאל עם, לפי הוראות שייקבעו בחוק, בשינויים המחויבים כאילו היתה הסכם כאמור. </w:t>
            </w:r>
          </w:p>
        </w:tc>
      </w:tr>
      <w:tr w:rsidR="00AC18CD" w:rsidTr="00AA33CF">
        <w:trPr>
          <w:cantSplit/>
        </w:trPr>
        <w:tc>
          <w:tcPr>
            <w:tcW w:w="1871" w:type="dxa"/>
            <w:hideMark/>
          </w:tcPr>
          <w:p w:rsidR="00AC18CD" w:rsidRPr="00AA33CF" w:rsidRDefault="00AC18CD" w:rsidP="00AA33CF">
            <w:pPr>
              <w:pStyle w:val="TableSideHeading"/>
              <w:ind w:right="0"/>
            </w:pPr>
            <w:r w:rsidRPr="00AA33CF">
              <w:rPr>
                <w:rtl/>
              </w:rPr>
              <w:t>חזרת הממשלה מהסכם</w:t>
            </w:r>
          </w:p>
        </w:tc>
        <w:tc>
          <w:tcPr>
            <w:tcW w:w="624" w:type="dxa"/>
            <w:hideMark/>
          </w:tcPr>
          <w:p w:rsidR="00AC18CD" w:rsidRPr="00AA33CF" w:rsidRDefault="00AC18CD" w:rsidP="00AA33CF">
            <w:pPr>
              <w:pStyle w:val="TableText"/>
              <w:ind w:right="0"/>
              <w:jc w:val="both"/>
            </w:pPr>
            <w:r w:rsidRPr="00AA33CF">
              <w:rPr>
                <w:rtl/>
              </w:rPr>
              <w:t>2.</w:t>
            </w:r>
          </w:p>
        </w:tc>
        <w:tc>
          <w:tcPr>
            <w:tcW w:w="7143" w:type="dxa"/>
            <w:gridSpan w:val="3"/>
            <w:hideMark/>
          </w:tcPr>
          <w:p w:rsidR="00AC18CD" w:rsidRPr="00AA33CF" w:rsidRDefault="00AC18CD" w:rsidP="00AA33CF">
            <w:pPr>
              <w:pStyle w:val="TableBlock"/>
            </w:pPr>
            <w:r w:rsidRPr="00AA33CF">
              <w:rPr>
                <w:rtl/>
              </w:rPr>
              <w:t>הגישה הממשלה הסכם כאמור בסעיף 1 לאישור הכנסת, והודיעה לכנסת וליושב ראש ועדת הבחירות המרכזית כי היא חוזרת בה מכוונתה לאשרר את ההסכם או לחתום עליו, לא יובא ההסכם לאישור הכנסת או לא ייערך משאל עם במועד שנקבע לכך בחוק, לפי העניין.</w:t>
            </w:r>
          </w:p>
        </w:tc>
      </w:tr>
      <w:tr w:rsidR="00AC18CD" w:rsidTr="00AA33CF">
        <w:trPr>
          <w:cantSplit/>
        </w:trPr>
        <w:tc>
          <w:tcPr>
            <w:tcW w:w="1871" w:type="dxa"/>
            <w:hideMark/>
          </w:tcPr>
          <w:p w:rsidR="00AC18CD" w:rsidRPr="00AA33CF" w:rsidRDefault="00AC18CD" w:rsidP="00AA33CF">
            <w:pPr>
              <w:pStyle w:val="TableSideHeading"/>
              <w:ind w:right="0"/>
            </w:pPr>
            <w:r w:rsidRPr="00AA33CF">
              <w:rPr>
                <w:rtl/>
              </w:rPr>
              <w:t>הזכות להשתתף במשאל עם</w:t>
            </w:r>
          </w:p>
        </w:tc>
        <w:tc>
          <w:tcPr>
            <w:tcW w:w="624" w:type="dxa"/>
            <w:hideMark/>
          </w:tcPr>
          <w:p w:rsidR="00AC18CD" w:rsidRPr="00AA33CF" w:rsidRDefault="00AC18CD" w:rsidP="00AA33CF">
            <w:pPr>
              <w:pStyle w:val="TableText"/>
              <w:ind w:right="0"/>
              <w:jc w:val="both"/>
            </w:pPr>
            <w:r w:rsidRPr="00AA33CF">
              <w:rPr>
                <w:rtl/>
              </w:rPr>
              <w:t>3.</w:t>
            </w:r>
          </w:p>
        </w:tc>
        <w:tc>
          <w:tcPr>
            <w:tcW w:w="7143" w:type="dxa"/>
            <w:gridSpan w:val="3"/>
            <w:hideMark/>
          </w:tcPr>
          <w:p w:rsidR="00AC18CD" w:rsidRPr="00AA33CF" w:rsidRDefault="00AC18CD" w:rsidP="00AA33CF">
            <w:pPr>
              <w:pStyle w:val="TableBlock"/>
            </w:pPr>
            <w:r w:rsidRPr="00AA33CF">
              <w:rPr>
                <w:rtl/>
              </w:rPr>
              <w:t>זכאי להשתתף במשאל העם מי שהיה זכאי להשתתף בבחירות לכנסת לו היו מתקיימות במועד עריכת משאל העם.</w:t>
            </w:r>
          </w:p>
        </w:tc>
      </w:tr>
      <w:tr w:rsidR="00AC18CD" w:rsidTr="00AA33CF">
        <w:trPr>
          <w:cantSplit/>
        </w:trPr>
        <w:tc>
          <w:tcPr>
            <w:tcW w:w="1871" w:type="dxa"/>
            <w:hideMark/>
          </w:tcPr>
          <w:p w:rsidR="00AC18CD" w:rsidRPr="00AA33CF" w:rsidRDefault="00AC18CD" w:rsidP="00AA33CF">
            <w:pPr>
              <w:pStyle w:val="TableSideHeading"/>
              <w:ind w:right="0"/>
            </w:pPr>
            <w:r w:rsidRPr="00AA33CF">
              <w:rPr>
                <w:rtl/>
              </w:rPr>
              <w:t>החלת הוראות</w:t>
            </w:r>
          </w:p>
        </w:tc>
        <w:tc>
          <w:tcPr>
            <w:tcW w:w="624" w:type="dxa"/>
            <w:hideMark/>
          </w:tcPr>
          <w:p w:rsidR="00AC18CD" w:rsidRPr="00AA33CF" w:rsidRDefault="00AC18CD" w:rsidP="00AA33CF">
            <w:pPr>
              <w:pStyle w:val="TableText"/>
              <w:ind w:right="0"/>
              <w:jc w:val="both"/>
            </w:pPr>
            <w:r w:rsidRPr="00AA33CF">
              <w:rPr>
                <w:rtl/>
              </w:rPr>
              <w:t>4.</w:t>
            </w:r>
          </w:p>
        </w:tc>
        <w:tc>
          <w:tcPr>
            <w:tcW w:w="7143" w:type="dxa"/>
            <w:gridSpan w:val="3"/>
            <w:hideMark/>
          </w:tcPr>
          <w:p w:rsidR="00AC18CD" w:rsidRPr="00AA33CF" w:rsidRDefault="00AC18CD" w:rsidP="00AA33CF">
            <w:pPr>
              <w:pStyle w:val="TableBlock"/>
            </w:pPr>
            <w:r w:rsidRPr="00AA33CF">
              <w:rPr>
                <w:rtl/>
              </w:rPr>
              <w:t>על עריכת משאל העם יחולו הוראות הדין בעניין הבחירות לכנסת, בשינויים המחויבים ובשינויים שנקבעו בחוק.</w:t>
            </w:r>
          </w:p>
        </w:tc>
      </w:tr>
      <w:tr w:rsidR="00AC18CD" w:rsidTr="00AA33CF">
        <w:trPr>
          <w:cantSplit/>
        </w:trPr>
        <w:tc>
          <w:tcPr>
            <w:tcW w:w="1871" w:type="dxa"/>
            <w:hideMark/>
          </w:tcPr>
          <w:p w:rsidR="00AC18CD" w:rsidRPr="00AA33CF" w:rsidRDefault="00AC18CD" w:rsidP="00AA33CF">
            <w:pPr>
              <w:pStyle w:val="TableSideHeading"/>
              <w:ind w:right="0"/>
            </w:pPr>
            <w:r w:rsidRPr="00AA33CF">
              <w:rPr>
                <w:rtl/>
              </w:rPr>
              <w:t>יציבות</w:t>
            </w:r>
          </w:p>
        </w:tc>
        <w:tc>
          <w:tcPr>
            <w:tcW w:w="624" w:type="dxa"/>
            <w:hideMark/>
          </w:tcPr>
          <w:p w:rsidR="00AC18CD" w:rsidRPr="00AA33CF" w:rsidRDefault="00AC18CD" w:rsidP="00AA33CF">
            <w:pPr>
              <w:pStyle w:val="TableText"/>
              <w:ind w:right="0"/>
              <w:jc w:val="both"/>
            </w:pPr>
            <w:r w:rsidRPr="00AA33CF">
              <w:rPr>
                <w:rtl/>
              </w:rPr>
              <w:t>5.</w:t>
            </w:r>
          </w:p>
        </w:tc>
        <w:tc>
          <w:tcPr>
            <w:tcW w:w="7143" w:type="dxa"/>
            <w:gridSpan w:val="3"/>
            <w:hideMark/>
          </w:tcPr>
          <w:p w:rsidR="00AC18CD" w:rsidRPr="00AA33CF" w:rsidRDefault="00AC18CD" w:rsidP="00AA33CF">
            <w:pPr>
              <w:pStyle w:val="TableBlock"/>
            </w:pPr>
            <w:r w:rsidRPr="00AA33CF">
              <w:rPr>
                <w:rtl/>
              </w:rPr>
              <w:t>אין בכוחן של תקנות שעת חירום לשנות חוק-יסוד זה, להפקיע זמנית את תוקפו או לקבוע בו תנאים.</w:t>
            </w:r>
          </w:p>
        </w:tc>
      </w:tr>
      <w:tr w:rsidR="00AC18CD" w:rsidTr="00AA33CF">
        <w:trPr>
          <w:cantSplit/>
        </w:trPr>
        <w:tc>
          <w:tcPr>
            <w:tcW w:w="1871" w:type="dxa"/>
            <w:hideMark/>
          </w:tcPr>
          <w:p w:rsidR="00AC18CD" w:rsidRPr="00AA33CF" w:rsidRDefault="00AC18CD" w:rsidP="00AA33CF">
            <w:pPr>
              <w:pStyle w:val="TableSideHeading"/>
              <w:ind w:right="0"/>
            </w:pPr>
            <w:r w:rsidRPr="00AA33CF">
              <w:rPr>
                <w:rtl/>
              </w:rPr>
              <w:t>נוקשות</w:t>
            </w:r>
          </w:p>
        </w:tc>
        <w:tc>
          <w:tcPr>
            <w:tcW w:w="624" w:type="dxa"/>
            <w:hideMark/>
          </w:tcPr>
          <w:p w:rsidR="00AC18CD" w:rsidRPr="00AA33CF" w:rsidRDefault="00AC18CD" w:rsidP="00AA33CF">
            <w:pPr>
              <w:pStyle w:val="TableText"/>
              <w:ind w:right="0"/>
              <w:jc w:val="both"/>
            </w:pPr>
            <w:r w:rsidRPr="00AA33CF">
              <w:rPr>
                <w:rtl/>
              </w:rPr>
              <w:t>6.</w:t>
            </w:r>
          </w:p>
        </w:tc>
        <w:tc>
          <w:tcPr>
            <w:tcW w:w="7143" w:type="dxa"/>
            <w:gridSpan w:val="3"/>
            <w:hideMark/>
          </w:tcPr>
          <w:p w:rsidR="00AC18CD" w:rsidRPr="00AA33CF" w:rsidRDefault="00AC18CD" w:rsidP="00AA33CF">
            <w:pPr>
              <w:pStyle w:val="TableBlock"/>
            </w:pPr>
            <w:r w:rsidRPr="00AA33CF">
              <w:rPr>
                <w:rtl/>
              </w:rPr>
              <w:t>אין לשנות חוק-יסוד זה אלא בחוק-יסוד שנתקבל ברוב של חברי הכנסת.</w:t>
            </w:r>
          </w:p>
        </w:tc>
      </w:tr>
    </w:tbl>
    <w:p w:rsidR="00AC18CD" w:rsidRDefault="00AC18CD" w:rsidP="00AC18CD">
      <w:pPr>
        <w:pStyle w:val="HeadHatzaotHok"/>
        <w:tabs>
          <w:tab w:val="left" w:pos="4071"/>
          <w:tab w:val="center" w:pos="4819"/>
        </w:tabs>
        <w:spacing w:before="0"/>
        <w:rPr>
          <w:sz w:val="26"/>
          <w:rtl/>
        </w:rPr>
      </w:pPr>
    </w:p>
    <w:p w:rsidR="00AC18CD" w:rsidRDefault="00AC18CD" w:rsidP="00AC18CD">
      <w:pPr>
        <w:pStyle w:val="HeadDivreiHesber"/>
        <w:spacing w:before="0" w:after="0"/>
        <w:rPr>
          <w:rtl/>
        </w:rPr>
      </w:pPr>
    </w:p>
    <w:p w:rsidR="00AA33CF" w:rsidRDefault="00AA33CF" w:rsidP="00AC18CD">
      <w:pPr>
        <w:pStyle w:val="HeadDivreiHesber"/>
        <w:spacing w:before="0" w:after="0"/>
        <w:rPr>
          <w:rtl/>
        </w:rPr>
      </w:pPr>
    </w:p>
    <w:p w:rsidR="00AA33CF" w:rsidRDefault="00AA33CF" w:rsidP="00AC18CD">
      <w:pPr>
        <w:pStyle w:val="HeadDivreiHesber"/>
        <w:spacing w:before="0" w:after="0"/>
        <w:rPr>
          <w:rtl/>
        </w:rPr>
      </w:pPr>
    </w:p>
    <w:p w:rsidR="00AC18CD" w:rsidRDefault="00AC18CD" w:rsidP="00AC18CD">
      <w:pPr>
        <w:pStyle w:val="HeadDivreiHesber"/>
        <w:spacing w:before="0" w:after="0"/>
        <w:rPr>
          <w:rtl/>
        </w:rPr>
      </w:pPr>
      <w:r>
        <w:rPr>
          <w:rtl/>
        </w:rPr>
        <w:t>דברי הסבר</w:t>
      </w:r>
    </w:p>
    <w:p w:rsidR="00AC18CD" w:rsidRPr="00AA33CF" w:rsidRDefault="00AC18CD" w:rsidP="00AA33CF">
      <w:pPr>
        <w:pStyle w:val="Hesber"/>
        <w:rPr>
          <w:rtl/>
        </w:rPr>
      </w:pPr>
    </w:p>
    <w:p w:rsidR="00AC18CD" w:rsidRPr="00AA33CF" w:rsidRDefault="00AA33CF" w:rsidP="00AA33CF">
      <w:pPr>
        <w:pStyle w:val="Hesber"/>
        <w:rPr>
          <w:rtl/>
        </w:rPr>
      </w:pPr>
      <w:r>
        <w:rPr>
          <w:rtl/>
        </w:rPr>
        <w:t>הכנסת השמונה-</w:t>
      </w:r>
      <w:r w:rsidR="00AC18CD" w:rsidRPr="00AA33CF">
        <w:rPr>
          <w:rtl/>
        </w:rPr>
        <w:t>עשרה אישרה בקריאה שלישית את חוק סדרי השלטון והמשפט (ביטול החלת המשפט, השיפוט והמינהל) (תיקון), התשע"א</w:t>
      </w:r>
      <w:r>
        <w:rPr>
          <w:rtl/>
        </w:rPr>
        <w:t>–</w:t>
      </w:r>
      <w:r w:rsidR="00AC18CD" w:rsidRPr="00AA33CF">
        <w:rPr>
          <w:rtl/>
        </w:rPr>
        <w:t>2010‏,  הקובע כי בכל מקרה בו החליטה הממשלה לאשרר הסכם או לחתום על הסכם לפיו המשפט, השיפוט והמינהל של מדינת ישראל לא יחולו עוד על שטח שהם חלים בו,  ההסכם, לאחר שאושר בכנסת, יהיה טעון אישור במשאל עם.</w:t>
      </w:r>
    </w:p>
    <w:p w:rsidR="00AC18CD" w:rsidRPr="00AA33CF" w:rsidRDefault="00AA33CF" w:rsidP="00AA33CF">
      <w:pPr>
        <w:pStyle w:val="Hesber"/>
        <w:rPr>
          <w:rtl/>
        </w:rPr>
      </w:pPr>
      <w:r>
        <w:rPr>
          <w:rtl/>
        </w:rPr>
        <w:t>במסגרת החוק האמור</w:t>
      </w:r>
      <w:r w:rsidR="00AC18CD" w:rsidRPr="00AA33CF">
        <w:rPr>
          <w:rtl/>
        </w:rPr>
        <w:t xml:space="preserve"> נקבעו גם סדרי עריכת משאל עם, לרבות אופן הצגת השאלה אשר תובא להכרעה, סדרי ההצבעה והסדרים נוספים.</w:t>
      </w:r>
    </w:p>
    <w:p w:rsidR="00AC18CD" w:rsidRPr="00AA33CF" w:rsidRDefault="00AC18CD" w:rsidP="00AA33CF">
      <w:pPr>
        <w:pStyle w:val="Hesber"/>
        <w:rPr>
          <w:rtl/>
        </w:rPr>
      </w:pPr>
      <w:r w:rsidRPr="00AA33CF">
        <w:rPr>
          <w:rtl/>
        </w:rPr>
        <w:t xml:space="preserve">לעריכת משאל עם נודעת חשיבות רבה לשם שמירה על אחדות העם במקרה של גיבוש הסכם כאמור. יתר על כן, יש בכך גם כדי להבטיח כי אישור ההסכם ייעשה בדרך הולמת ולהבטיח כי הכרעה בסוגיה כזו תיעשה לגופו של עניין בלבד, ללא הסדרים שאינם רלוונטיים להכרעה עצמה. </w:t>
      </w:r>
      <w:r w:rsidR="001C73C2" w:rsidRPr="00AA33CF">
        <w:rPr>
          <w:rtl/>
        </w:rPr>
        <w:t xml:space="preserve">בנוסף, </w:t>
      </w:r>
      <w:r w:rsidRPr="00AA33CF">
        <w:rPr>
          <w:rtl/>
        </w:rPr>
        <w:t>אף מבחינה קונסטיטוציונית ראוי לקיים משאל עם בסוגיה כזו, שכן מדובר בהתפרקות של המדינה מסמכויות ריבוניות שלה, החלטה אשר נהוג במשטרים דמוקרטיים להעבירה להכרעת העם (בדומה לאופן שהדבר נעשה כאשר מדינות האיחוד האירופי התפרקו מסמכויות ריבוניות לטובת מוסדות האיחוד).</w:t>
      </w:r>
    </w:p>
    <w:p w:rsidR="00AC18CD" w:rsidRDefault="00AC18CD" w:rsidP="00AA33CF">
      <w:pPr>
        <w:pStyle w:val="Hesber"/>
        <w:rPr>
          <w:rtl/>
        </w:rPr>
      </w:pPr>
      <w:r w:rsidRPr="00AA33CF">
        <w:rPr>
          <w:rtl/>
        </w:rPr>
        <w:t>נוכח החשיבות של עקרון משאל עם, והגם שהעיקרון כבר קבוע בחוק באופן מחייב, מוצע לעגן את חובת עריכת משאל העם במקרים שנקבעו בחוק כהוראה הקבועה בחוק יסוד. מוצע כי חוק היסוד יקבע את העיקרון בדבר עריכת משאל עם, תוך הותרת ההסדרים בדבר אופן עריכת משאל העם על כנם כפי שהם קבועים בחוק סדרי השלטון והמשפט (ביטול החלת המשפט, השיפוט והמינהל) (תיקון), התשע"א</w:t>
      </w:r>
      <w:r w:rsidR="00AA33CF">
        <w:rPr>
          <w:rtl/>
        </w:rPr>
        <w:t>–</w:t>
      </w:r>
      <w:r w:rsidRPr="00AA33CF">
        <w:rPr>
          <w:rtl/>
        </w:rPr>
        <w:t>2010.</w:t>
      </w:r>
    </w:p>
    <w:p w:rsidR="00AA33CF" w:rsidRDefault="00AA33CF" w:rsidP="00AA33CF">
      <w:pPr>
        <w:pStyle w:val="Hesber"/>
        <w:rPr>
          <w:rtl/>
        </w:rPr>
      </w:pPr>
    </w:p>
    <w:p w:rsidR="00AA33CF" w:rsidRDefault="00AA33CF" w:rsidP="00AA33CF">
      <w:pPr>
        <w:pStyle w:val="Hesber"/>
        <w:rPr>
          <w:rtl/>
        </w:rPr>
      </w:pPr>
    </w:p>
    <w:p w:rsidR="00AA33CF" w:rsidRDefault="00AA33CF" w:rsidP="00AA33CF">
      <w:pPr>
        <w:pStyle w:val="Hesber"/>
        <w:rPr>
          <w:rtl/>
        </w:rPr>
      </w:pPr>
    </w:p>
    <w:p w:rsidR="00AA33CF" w:rsidRDefault="00AA33CF" w:rsidP="00AA33CF">
      <w:pPr>
        <w:pStyle w:val="Hesber"/>
        <w:rPr>
          <w:rtl/>
        </w:rPr>
      </w:pPr>
    </w:p>
    <w:p w:rsidR="00AA33CF" w:rsidRPr="0022704F" w:rsidRDefault="00AA33CF" w:rsidP="00AA33CF">
      <w:pPr>
        <w:ind w:left="340" w:firstLine="0"/>
        <w:rPr>
          <w:rFonts w:cs="David"/>
          <w:snapToGrid w:val="0"/>
          <w:spacing w:val="0"/>
          <w:sz w:val="20"/>
          <w:szCs w:val="26"/>
          <w:rtl/>
        </w:rPr>
      </w:pPr>
      <w:r w:rsidRPr="0022704F">
        <w:rPr>
          <w:rFonts w:cs="David"/>
          <w:snapToGrid w:val="0"/>
          <w:spacing w:val="0"/>
          <w:sz w:val="20"/>
          <w:szCs w:val="26"/>
          <w:rtl/>
        </w:rPr>
        <w:t>---------------------------------</w:t>
      </w:r>
    </w:p>
    <w:p w:rsidR="00AA33CF" w:rsidRPr="0022704F" w:rsidRDefault="00AA33CF" w:rsidP="00AA33CF">
      <w:pPr>
        <w:ind w:left="340" w:firstLine="0"/>
        <w:rPr>
          <w:rFonts w:cs="David"/>
          <w:snapToGrid w:val="0"/>
          <w:spacing w:val="0"/>
          <w:sz w:val="20"/>
          <w:szCs w:val="26"/>
          <w:rtl/>
        </w:rPr>
      </w:pPr>
      <w:r w:rsidRPr="0022704F">
        <w:rPr>
          <w:rFonts w:cs="David" w:hint="cs"/>
          <w:snapToGrid w:val="0"/>
          <w:spacing w:val="0"/>
          <w:sz w:val="20"/>
          <w:szCs w:val="26"/>
          <w:rtl/>
        </w:rPr>
        <w:t>הוגשה</w:t>
      </w:r>
      <w:r w:rsidRPr="0022704F">
        <w:rPr>
          <w:rFonts w:cs="David"/>
          <w:snapToGrid w:val="0"/>
          <w:spacing w:val="0"/>
          <w:sz w:val="20"/>
          <w:szCs w:val="26"/>
          <w:rtl/>
        </w:rPr>
        <w:t xml:space="preserve"> </w:t>
      </w:r>
      <w:r w:rsidRPr="0022704F">
        <w:rPr>
          <w:rFonts w:cs="David" w:hint="cs"/>
          <w:snapToGrid w:val="0"/>
          <w:spacing w:val="0"/>
          <w:sz w:val="20"/>
          <w:szCs w:val="26"/>
          <w:rtl/>
        </w:rPr>
        <w:t>ליו</w:t>
      </w:r>
      <w:r w:rsidRPr="0022704F">
        <w:rPr>
          <w:rFonts w:cs="David"/>
          <w:snapToGrid w:val="0"/>
          <w:spacing w:val="0"/>
          <w:sz w:val="20"/>
          <w:szCs w:val="26"/>
          <w:rtl/>
        </w:rPr>
        <w:t>"</w:t>
      </w:r>
      <w:r w:rsidRPr="0022704F">
        <w:rPr>
          <w:rFonts w:cs="David" w:hint="cs"/>
          <w:snapToGrid w:val="0"/>
          <w:spacing w:val="0"/>
          <w:sz w:val="20"/>
          <w:szCs w:val="26"/>
          <w:rtl/>
        </w:rPr>
        <w:t>ר</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והסגנים</w:t>
      </w:r>
    </w:p>
    <w:p w:rsidR="00AA33CF" w:rsidRPr="0022704F" w:rsidRDefault="00AA33CF" w:rsidP="00AA33CF">
      <w:pPr>
        <w:ind w:left="340" w:firstLine="0"/>
        <w:rPr>
          <w:rFonts w:cs="David"/>
          <w:snapToGrid w:val="0"/>
          <w:spacing w:val="0"/>
          <w:sz w:val="20"/>
          <w:szCs w:val="26"/>
          <w:rtl/>
        </w:rPr>
      </w:pPr>
      <w:r w:rsidRPr="0022704F">
        <w:rPr>
          <w:rFonts w:cs="David" w:hint="cs"/>
          <w:snapToGrid w:val="0"/>
          <w:spacing w:val="0"/>
          <w:sz w:val="20"/>
          <w:szCs w:val="26"/>
          <w:rtl/>
        </w:rPr>
        <w:t>והונחה</w:t>
      </w:r>
      <w:r w:rsidRPr="0022704F">
        <w:rPr>
          <w:rFonts w:cs="David"/>
          <w:snapToGrid w:val="0"/>
          <w:spacing w:val="0"/>
          <w:sz w:val="20"/>
          <w:szCs w:val="26"/>
          <w:rtl/>
        </w:rPr>
        <w:t xml:space="preserve"> </w:t>
      </w:r>
      <w:r w:rsidRPr="0022704F">
        <w:rPr>
          <w:rFonts w:cs="David" w:hint="cs"/>
          <w:snapToGrid w:val="0"/>
          <w:spacing w:val="0"/>
          <w:sz w:val="20"/>
          <w:szCs w:val="26"/>
          <w:rtl/>
        </w:rPr>
        <w:t>על</w:t>
      </w:r>
      <w:r w:rsidRPr="0022704F">
        <w:rPr>
          <w:rFonts w:cs="David"/>
          <w:snapToGrid w:val="0"/>
          <w:spacing w:val="0"/>
          <w:sz w:val="20"/>
          <w:szCs w:val="26"/>
          <w:rtl/>
        </w:rPr>
        <w:t xml:space="preserve"> </w:t>
      </w:r>
      <w:r w:rsidRPr="0022704F">
        <w:rPr>
          <w:rFonts w:cs="David" w:hint="cs"/>
          <w:snapToGrid w:val="0"/>
          <w:spacing w:val="0"/>
          <w:sz w:val="20"/>
          <w:szCs w:val="26"/>
          <w:rtl/>
        </w:rPr>
        <w:t>שולחן</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ביום</w:t>
      </w:r>
    </w:p>
    <w:p w:rsidR="00AA33CF" w:rsidRPr="00935520" w:rsidRDefault="00AA33CF" w:rsidP="00AA33CF">
      <w:pPr>
        <w:ind w:left="340" w:firstLine="0"/>
        <w:rPr>
          <w:rFonts w:ascii="Arial" w:eastAsia="Arial Unicode MS" w:hAnsi="Arial" w:cs="David"/>
          <w:snapToGrid w:val="0"/>
          <w:spacing w:val="0"/>
          <w:sz w:val="20"/>
          <w:szCs w:val="26"/>
        </w:rPr>
      </w:pPr>
      <w:r>
        <w:rPr>
          <w:rFonts w:cs="David" w:hint="cs"/>
          <w:snapToGrid w:val="0"/>
          <w:spacing w:val="0"/>
          <w:sz w:val="20"/>
          <w:szCs w:val="26"/>
          <w:rtl/>
        </w:rPr>
        <w:t>ט</w:t>
      </w:r>
      <w:r>
        <w:rPr>
          <w:rFonts w:cs="David"/>
          <w:snapToGrid w:val="0"/>
          <w:spacing w:val="0"/>
          <w:sz w:val="20"/>
          <w:szCs w:val="26"/>
          <w:rtl/>
        </w:rPr>
        <w:t>"</w:t>
      </w:r>
      <w:r>
        <w:rPr>
          <w:rFonts w:cs="David" w:hint="cs"/>
          <w:snapToGrid w:val="0"/>
          <w:spacing w:val="0"/>
          <w:sz w:val="20"/>
          <w:szCs w:val="26"/>
          <w:rtl/>
        </w:rPr>
        <w:t>ו</w:t>
      </w:r>
      <w:r>
        <w:rPr>
          <w:rFonts w:cs="David"/>
          <w:snapToGrid w:val="0"/>
          <w:spacing w:val="0"/>
          <w:sz w:val="20"/>
          <w:szCs w:val="26"/>
          <w:rtl/>
        </w:rPr>
        <w:t xml:space="preserve"> </w:t>
      </w:r>
      <w:r>
        <w:rPr>
          <w:rFonts w:cs="David" w:hint="cs"/>
          <w:snapToGrid w:val="0"/>
          <w:spacing w:val="0"/>
          <w:sz w:val="20"/>
          <w:szCs w:val="26"/>
          <w:rtl/>
        </w:rPr>
        <w:t>באב</w:t>
      </w:r>
      <w:r w:rsidRPr="00935520">
        <w:rPr>
          <w:rFonts w:cs="David"/>
          <w:snapToGrid w:val="0"/>
          <w:spacing w:val="0"/>
          <w:sz w:val="20"/>
          <w:szCs w:val="26"/>
          <w:rtl/>
        </w:rPr>
        <w:t xml:space="preserve"> </w:t>
      </w:r>
      <w:r w:rsidRPr="00935520">
        <w:rPr>
          <w:rFonts w:cs="David" w:hint="cs"/>
          <w:snapToGrid w:val="0"/>
          <w:spacing w:val="0"/>
          <w:sz w:val="20"/>
          <w:szCs w:val="26"/>
          <w:rtl/>
        </w:rPr>
        <w:t>התשע</w:t>
      </w:r>
      <w:r w:rsidRPr="00935520">
        <w:rPr>
          <w:rFonts w:cs="David"/>
          <w:snapToGrid w:val="0"/>
          <w:spacing w:val="0"/>
          <w:sz w:val="20"/>
          <w:szCs w:val="26"/>
          <w:rtl/>
        </w:rPr>
        <w:t>"</w:t>
      </w:r>
      <w:r w:rsidRPr="00935520">
        <w:rPr>
          <w:rFonts w:cs="David" w:hint="cs"/>
          <w:snapToGrid w:val="0"/>
          <w:spacing w:val="0"/>
          <w:sz w:val="20"/>
          <w:szCs w:val="26"/>
          <w:rtl/>
        </w:rPr>
        <w:t>ג</w:t>
      </w:r>
      <w:r w:rsidRPr="00935520">
        <w:rPr>
          <w:rFonts w:cs="David"/>
          <w:snapToGrid w:val="0"/>
          <w:spacing w:val="0"/>
          <w:sz w:val="20"/>
          <w:szCs w:val="26"/>
          <w:rtl/>
        </w:rPr>
        <w:t xml:space="preserve"> – </w:t>
      </w:r>
      <w:r>
        <w:rPr>
          <w:rFonts w:cs="David"/>
          <w:snapToGrid w:val="0"/>
          <w:spacing w:val="0"/>
          <w:sz w:val="20"/>
          <w:szCs w:val="26"/>
          <w:rtl/>
        </w:rPr>
        <w:t>22</w:t>
      </w:r>
      <w:r w:rsidRPr="00935520">
        <w:rPr>
          <w:rFonts w:cs="David"/>
          <w:snapToGrid w:val="0"/>
          <w:spacing w:val="0"/>
          <w:sz w:val="20"/>
          <w:szCs w:val="26"/>
          <w:rtl/>
        </w:rPr>
        <w:t>.</w:t>
      </w:r>
      <w:r>
        <w:rPr>
          <w:rFonts w:cs="David"/>
          <w:snapToGrid w:val="0"/>
          <w:spacing w:val="0"/>
          <w:sz w:val="20"/>
          <w:szCs w:val="26"/>
          <w:rtl/>
        </w:rPr>
        <w:t>7</w:t>
      </w:r>
      <w:r w:rsidRPr="00935520">
        <w:rPr>
          <w:rFonts w:cs="David"/>
          <w:snapToGrid w:val="0"/>
          <w:spacing w:val="0"/>
          <w:sz w:val="20"/>
          <w:szCs w:val="26"/>
          <w:rtl/>
        </w:rPr>
        <w:t>.13</w:t>
      </w:r>
    </w:p>
    <w:p w:rsidR="00AA33CF" w:rsidRPr="00AA33CF" w:rsidRDefault="00AA33CF" w:rsidP="00AA33CF">
      <w:pPr>
        <w:pStyle w:val="Hesber"/>
        <w:rPr>
          <w:rtl/>
        </w:rPr>
      </w:pPr>
    </w:p>
    <w:sectPr w:rsidR="00AA33CF" w:rsidRPr="00AA33CF" w:rsidSect="001207F8">
      <w:footerReference w:type="even" r:id="rId10"/>
      <w:footerReference w:type="default" r:id="rId11"/>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22" w:rsidRDefault="004C5D22">
      <w:r>
        <w:separator/>
      </w:r>
    </w:p>
  </w:endnote>
  <w:endnote w:type="continuationSeparator" w:id="0">
    <w:p w:rsidR="004C5D22" w:rsidRDefault="004C5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925340">
      <w:rPr>
        <w:rStyle w:val="af"/>
        <w:noProof/>
        <w:rtl/>
      </w:rPr>
      <w:t>2</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22" w:rsidRDefault="004C5D22">
      <w:r>
        <w:separator/>
      </w:r>
    </w:p>
  </w:footnote>
  <w:footnote w:type="continuationSeparator" w:id="0">
    <w:p w:rsidR="004C5D22" w:rsidRDefault="004C5D22">
      <w:r>
        <w:continuationSeparator/>
      </w:r>
    </w:p>
  </w:footnote>
  <w:footnote w:type="continuationNotice" w:id="1">
    <w:p w:rsidR="004C5D22" w:rsidRDefault="004C5D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487954lsCopyOriginal.docx"/>
    <w:docVar w:name="StartMode" w:val="3"/>
  </w:docVars>
  <w:rsids>
    <w:rsidRoot w:val="00DB7060"/>
    <w:rsid w:val="00015B27"/>
    <w:rsid w:val="000A542E"/>
    <w:rsid w:val="001207F8"/>
    <w:rsid w:val="00121924"/>
    <w:rsid w:val="001279A8"/>
    <w:rsid w:val="0014195F"/>
    <w:rsid w:val="00152609"/>
    <w:rsid w:val="00153E1B"/>
    <w:rsid w:val="001A0623"/>
    <w:rsid w:val="001C23B0"/>
    <w:rsid w:val="001C73C2"/>
    <w:rsid w:val="001D1D86"/>
    <w:rsid w:val="00203A7F"/>
    <w:rsid w:val="002200A1"/>
    <w:rsid w:val="0022704F"/>
    <w:rsid w:val="002362BF"/>
    <w:rsid w:val="00241B97"/>
    <w:rsid w:val="00254605"/>
    <w:rsid w:val="002728B4"/>
    <w:rsid w:val="00292712"/>
    <w:rsid w:val="002C2E29"/>
    <w:rsid w:val="003232A2"/>
    <w:rsid w:val="003710F6"/>
    <w:rsid w:val="00386E88"/>
    <w:rsid w:val="00394CEE"/>
    <w:rsid w:val="003D74A0"/>
    <w:rsid w:val="004033D8"/>
    <w:rsid w:val="004C5D22"/>
    <w:rsid w:val="004D3876"/>
    <w:rsid w:val="004E4552"/>
    <w:rsid w:val="00553C9D"/>
    <w:rsid w:val="005B064E"/>
    <w:rsid w:val="005D51AE"/>
    <w:rsid w:val="00644940"/>
    <w:rsid w:val="006818A9"/>
    <w:rsid w:val="006C1D0D"/>
    <w:rsid w:val="0070601E"/>
    <w:rsid w:val="00765F66"/>
    <w:rsid w:val="007D5A12"/>
    <w:rsid w:val="007E59F9"/>
    <w:rsid w:val="00810BCD"/>
    <w:rsid w:val="00812C98"/>
    <w:rsid w:val="00814D92"/>
    <w:rsid w:val="0088793C"/>
    <w:rsid w:val="00892135"/>
    <w:rsid w:val="00895449"/>
    <w:rsid w:val="00897879"/>
    <w:rsid w:val="008C2DDC"/>
    <w:rsid w:val="008F0D63"/>
    <w:rsid w:val="008F2C35"/>
    <w:rsid w:val="0091204F"/>
    <w:rsid w:val="009203DB"/>
    <w:rsid w:val="00925340"/>
    <w:rsid w:val="00935520"/>
    <w:rsid w:val="00943386"/>
    <w:rsid w:val="00957589"/>
    <w:rsid w:val="00982412"/>
    <w:rsid w:val="00A26BD6"/>
    <w:rsid w:val="00A82CB7"/>
    <w:rsid w:val="00AA33CF"/>
    <w:rsid w:val="00AC18CD"/>
    <w:rsid w:val="00AC36F7"/>
    <w:rsid w:val="00B35784"/>
    <w:rsid w:val="00B70777"/>
    <w:rsid w:val="00BC45FB"/>
    <w:rsid w:val="00C9176A"/>
    <w:rsid w:val="00D867D7"/>
    <w:rsid w:val="00DB7060"/>
    <w:rsid w:val="00DE3153"/>
    <w:rsid w:val="00E13C27"/>
    <w:rsid w:val="00E33BBD"/>
    <w:rsid w:val="00E45103"/>
    <w:rsid w:val="00E665B9"/>
    <w:rsid w:val="00E742BB"/>
    <w:rsid w:val="00EA01E6"/>
    <w:rsid w:val="00EA758F"/>
    <w:rsid w:val="00EB49EA"/>
    <w:rsid w:val="00ED4A6F"/>
    <w:rsid w:val="00EF3A3A"/>
    <w:rsid w:val="00EF6F54"/>
    <w:rsid w:val="00F607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CF"/>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AA33CF"/>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AA33CF"/>
    <w:rPr>
      <w:sz w:val="36"/>
      <w:szCs w:val="52"/>
    </w:rPr>
  </w:style>
  <w:style w:type="paragraph" w:customStyle="1" w:styleId="Cover3-Haknesset">
    <w:name w:val="Cover 3-Haknesset"/>
    <w:basedOn w:val="Cover1-Reshumot"/>
    <w:rsid w:val="00AA33CF"/>
    <w:rPr>
      <w:b/>
      <w:bCs/>
      <w:spacing w:val="60"/>
    </w:rPr>
  </w:style>
  <w:style w:type="paragraph" w:customStyle="1" w:styleId="Cover4-Date">
    <w:name w:val="Cover 4-Date"/>
    <w:basedOn w:val="a"/>
    <w:rsid w:val="00AA33C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AA33CF"/>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AA33CF"/>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AA33CF"/>
    <w:pPr>
      <w:spacing w:before="120" w:after="120"/>
    </w:pPr>
    <w:rPr>
      <w:color w:val="FF0000"/>
      <w:w w:val="80"/>
    </w:rPr>
  </w:style>
  <w:style w:type="paragraph" w:styleId="a3">
    <w:name w:val="endnote text"/>
    <w:basedOn w:val="a"/>
    <w:link w:val="a4"/>
    <w:uiPriority w:val="99"/>
    <w:semiHidden/>
    <w:rsid w:val="00AA33CF"/>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AA33CF"/>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AA33CF"/>
  </w:style>
  <w:style w:type="paragraph" w:customStyle="1" w:styleId="TableBlock">
    <w:name w:val="Table Block"/>
    <w:basedOn w:val="TableText"/>
    <w:rsid w:val="00AA33CF"/>
    <w:pPr>
      <w:ind w:right="0"/>
      <w:jc w:val="both"/>
    </w:pPr>
  </w:style>
  <w:style w:type="paragraph" w:customStyle="1" w:styleId="TableHead">
    <w:name w:val="Table Head"/>
    <w:basedOn w:val="TableText"/>
    <w:rsid w:val="00AA33CF"/>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AA33CF"/>
  </w:style>
  <w:style w:type="paragraph" w:customStyle="1" w:styleId="Hesber">
    <w:name w:val="Hesber"/>
    <w:basedOn w:val="a"/>
    <w:rsid w:val="00AA33CF"/>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AA33CF"/>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rPr>
      <w:rFonts w:ascii="Hadasa Roso SL" w:hAnsi="Hadasa Roso SL" w:cs="Hadasa Roso SL"/>
      <w:color w:val="000000"/>
      <w:spacing w:val="1"/>
      <w:lang w:eastAsia="ja-JP"/>
    </w:rPr>
  </w:style>
  <w:style w:type="character" w:styleId="a7">
    <w:name w:val="footnote reference"/>
    <w:basedOn w:val="a0"/>
    <w:uiPriority w:val="99"/>
    <w:semiHidden/>
    <w:rsid w:val="00AA33CF"/>
    <w:rPr>
      <w:rFonts w:cs="Times New Roman"/>
      <w:vertAlign w:val="superscript"/>
    </w:rPr>
  </w:style>
  <w:style w:type="paragraph" w:customStyle="1" w:styleId="HesberHeading">
    <w:name w:val="Hesber Heading"/>
    <w:basedOn w:val="Hesber"/>
    <w:rsid w:val="00AA33CF"/>
    <w:pPr>
      <w:tabs>
        <w:tab w:val="left" w:pos="624"/>
        <w:tab w:val="left" w:pos="1247"/>
      </w:tabs>
      <w:ind w:firstLine="0"/>
    </w:pPr>
    <w:rPr>
      <w:b/>
      <w:bCs/>
    </w:rPr>
  </w:style>
  <w:style w:type="paragraph" w:customStyle="1" w:styleId="HesberWriters">
    <w:name w:val="Hesber Writers"/>
    <w:basedOn w:val="Hesber"/>
    <w:rsid w:val="00AA33CF"/>
    <w:pPr>
      <w:spacing w:before="120" w:after="6000"/>
      <w:ind w:left="1418" w:firstLine="0"/>
      <w:jc w:val="right"/>
    </w:pPr>
    <w:rPr>
      <w:b/>
      <w:bCs/>
    </w:rPr>
  </w:style>
  <w:style w:type="paragraph" w:customStyle="1" w:styleId="Hesber1st">
    <w:name w:val="Hesber 1st"/>
    <w:basedOn w:val="Hesber"/>
    <w:rsid w:val="00AA33CF"/>
    <w:pPr>
      <w:tabs>
        <w:tab w:val="left" w:pos="680"/>
        <w:tab w:val="left" w:pos="1020"/>
      </w:tabs>
      <w:ind w:firstLine="0"/>
    </w:pPr>
  </w:style>
  <w:style w:type="character" w:styleId="a8">
    <w:name w:val="endnote reference"/>
    <w:basedOn w:val="a0"/>
    <w:uiPriority w:val="99"/>
    <w:semiHidden/>
    <w:rsid w:val="00AA33CF"/>
    <w:rPr>
      <w:rFonts w:cs="Times New Roman"/>
      <w:vertAlign w:val="superscript"/>
    </w:rPr>
  </w:style>
  <w:style w:type="paragraph" w:customStyle="1" w:styleId="TableBlockOutdent">
    <w:name w:val="Table BlockOutdent"/>
    <w:basedOn w:val="TableBlock"/>
    <w:rsid w:val="00AA33CF"/>
    <w:pPr>
      <w:ind w:left="624" w:hanging="624"/>
    </w:pPr>
  </w:style>
  <w:style w:type="paragraph" w:styleId="a9">
    <w:name w:val="header"/>
    <w:basedOn w:val="a"/>
    <w:link w:val="aa"/>
    <w:uiPriority w:val="99"/>
    <w:rsid w:val="00AA33CF"/>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AA33CF"/>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AA33CF"/>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AA33CF"/>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AA33CF"/>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s>
</file>

<file path=word/webSettings.xml><?xml version="1.0" encoding="utf-8"?>
<w:webSettings xmlns:r="http://schemas.openxmlformats.org/officeDocument/2006/relationships" xmlns:w="http://schemas.openxmlformats.org/wordprocessingml/2006/main">
  <w:divs>
    <w:div w:id="209022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40AF2FB0-D949-479F-A3EA-ADE2A6A3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2254</Characters>
  <Application>Microsoft Office Word</Application>
  <DocSecurity>4</DocSecurity>
  <Lines>18</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חוק-יסוד: משאל עם</dc:title>
  <dc:creator>לילך שלי</dc:creator>
  <cp:lastModifiedBy>owner</cp:lastModifiedBy>
  <cp:revision>2</cp:revision>
  <cp:lastPrinted>2013-07-22T09:00:00Z</cp:lastPrinted>
  <dcterms:created xsi:type="dcterms:W3CDTF">2013-11-07T22:34:00Z</dcterms:created>
  <dcterms:modified xsi:type="dcterms:W3CDTF">2013-11-07T22:34:00Z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y fmtid="{D5CDD505-2E9C-101B-9397-08002B2CF9AE}" pid="3" name="Autonumber">
    <vt:lpwstr>242705</vt:lpwstr>
  </property>
  <property fmtid="{D5CDD505-2E9C-101B-9397-08002B2CF9AE}" pid="4" name="title">
    <vt:lpwstr>הצעת חוק-יסוד: משאל עם</vt:lpwstr>
  </property>
  <property fmtid="{D5CDD505-2E9C-101B-9397-08002B2CF9AE}" pid="5" name="SDAuthor">
    <vt:lpwstr>לוין יריב</vt:lpwstr>
  </property>
  <property fmtid="{D5CDD505-2E9C-101B-9397-08002B2CF9AE}" pid="6" name="SDDocDate">
    <vt:lpwstr>2013-07-22T09:17:28+03:00</vt:lpwstr>
  </property>
  <property fmtid="{D5CDD505-2E9C-101B-9397-08002B2CF9AE}" pid="7" name="LSITEMID">
    <vt:lpwstr>487954</vt:lpwstr>
  </property>
  <property fmtid="{D5CDD505-2E9C-101B-9397-08002B2CF9AE}" pid="8" name="LSSUBJECT">
    <vt:lpwstr>הצעת חוק-יסוד: משאל עם</vt:lpwstr>
  </property>
  <property fmtid="{D5CDD505-2E9C-101B-9397-08002B2CF9AE}" pid="9" name="LSKNESSETID">
    <vt:lpwstr>19</vt:lpwstr>
  </property>
  <property fmtid="{D5CDD505-2E9C-101B-9397-08002B2CF9AE}" pid="10" name="USNAME">
    <vt:lpwstr>יריב לוין</vt:lpwstr>
  </property>
  <property fmtid="{D5CDD505-2E9C-101B-9397-08002B2CF9AE}" pid="11" name="DTCOUNTER">
    <vt:lpwstr>757630</vt:lpwstr>
  </property>
  <property fmtid="{D5CDD505-2E9C-101B-9397-08002B2CF9AE}" pid="12" name="תאריך הנחה">
    <vt:lpwstr>07/22/2013</vt:lpwstr>
  </property>
  <property fmtid="{D5CDD505-2E9C-101B-9397-08002B2CF9AE}" pid="13" name="PLACE_DATE">
    <vt:lpwstr>22/07/2013 00:00:00</vt:lpwstr>
  </property>
  <property fmtid="{D5CDD505-2E9C-101B-9397-08002B2CF9AE}" pid="14" name="VAADA">
    <vt:lpwstr/>
  </property>
  <property fmtid="{D5CDD505-2E9C-101B-9397-08002B2CF9AE}" pid="15" name="YOZEMHATZAA_CHAKLIST">
    <vt:lpwstr>יריב לוין, איילת שקד, אורית סטרוק</vt:lpwstr>
  </property>
  <property fmtid="{D5CDD505-2E9C-101B-9397-08002B2CF9AE}" pid="16" name="YOZEMID">
    <vt:lpwstr>000012951, 000023512, 000023551</vt:lpwstr>
  </property>
  <property fmtid="{D5CDD505-2E9C-101B-9397-08002B2CF9AE}" pid="17" name="PROPOSER">
    <vt:lpwstr/>
  </property>
  <property fmtid="{D5CDD505-2E9C-101B-9397-08002B2CF9AE}" pid="18" name="PROPOSERID">
    <vt:lpwstr/>
  </property>
  <property fmtid="{D5CDD505-2E9C-101B-9397-08002B2CF9AE}" pid="19" name="MISHATZAATCHOK">
    <vt:lpwstr>פ/1551/19</vt:lpwstr>
  </property>
</Properties>
</file>